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E4A0D" w14:textId="224FDF58" w:rsidR="000F2854" w:rsidRDefault="00EE4E6B" w:rsidP="000F2854">
      <w:pPr>
        <w:pStyle w:val="NoSpacing"/>
        <w:numPr>
          <w:ilvl w:val="0"/>
          <w:numId w:val="2"/>
        </w:numPr>
      </w:pPr>
      <w:bookmarkStart w:id="0" w:name="_GoBack"/>
      <w:bookmarkEnd w:id="0"/>
      <w:r w:rsidRPr="00EE4E6B">
        <w:rPr>
          <w:b/>
          <w:sz w:val="24"/>
          <w:szCs w:val="24"/>
        </w:rPr>
        <w:t>Origin of the MinnesotaCare Taxes</w:t>
      </w:r>
      <w:r>
        <w:t xml:space="preserve">:  </w:t>
      </w:r>
      <w:r w:rsidR="000F2854">
        <w:t>In 1991, the bipartisan “Gang of Seven” legislators and Governor Arne Carlson developed the MinnesotaCare health care reform package that was enacted by the legislature in 1992</w:t>
      </w:r>
      <w:r w:rsidR="00360785">
        <w:t xml:space="preserve"> and was funded by new MinnesotaCare taxes.</w:t>
      </w:r>
    </w:p>
    <w:p w14:paraId="0C8D01B3" w14:textId="77777777" w:rsidR="004A37C8" w:rsidRDefault="004A37C8" w:rsidP="004A37C8">
      <w:pPr>
        <w:pStyle w:val="NoSpacing"/>
        <w:ind w:left="720"/>
      </w:pPr>
    </w:p>
    <w:p w14:paraId="6EBD49C8" w14:textId="6D37E9F7" w:rsidR="000F2854" w:rsidRPr="00EE4E6B" w:rsidRDefault="000F2854" w:rsidP="000F2854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EE4E6B">
        <w:rPr>
          <w:b/>
          <w:sz w:val="24"/>
          <w:szCs w:val="24"/>
        </w:rPr>
        <w:t>Rationale for MinnesotaCare Taxes:</w:t>
      </w:r>
    </w:p>
    <w:p w14:paraId="44EEF0E6" w14:textId="622828E7" w:rsidR="000F2854" w:rsidRDefault="00EE4E6B" w:rsidP="000F2854">
      <w:pPr>
        <w:pStyle w:val="NoSpacing"/>
        <w:numPr>
          <w:ilvl w:val="1"/>
          <w:numId w:val="2"/>
        </w:numPr>
      </w:pPr>
      <w:r>
        <w:t>Policymakers needed a</w:t>
      </w:r>
      <w:r w:rsidR="000F2854">
        <w:t xml:space="preserve"> </w:t>
      </w:r>
      <w:r w:rsidR="000F2854" w:rsidRPr="00360785">
        <w:rPr>
          <w:b/>
          <w:u w:val="single"/>
        </w:rPr>
        <w:t>funding source</w:t>
      </w:r>
      <w:r w:rsidR="000F2854">
        <w:t xml:space="preserve"> for MinnesotaCare and other </w:t>
      </w:r>
      <w:r w:rsidR="004A37C8">
        <w:t xml:space="preserve">state </w:t>
      </w:r>
      <w:r w:rsidR="000F2854">
        <w:t>reform</w:t>
      </w:r>
      <w:r w:rsidR="004A37C8">
        <w:t xml:space="preserve"> program</w:t>
      </w:r>
      <w:r w:rsidR="000F2854">
        <w:t xml:space="preserve">s </w:t>
      </w:r>
    </w:p>
    <w:p w14:paraId="70A748B3" w14:textId="77777777" w:rsidR="004A37C8" w:rsidRDefault="000F2854" w:rsidP="004A37C8">
      <w:pPr>
        <w:pStyle w:val="NoSpacing"/>
        <w:numPr>
          <w:ilvl w:val="1"/>
          <w:numId w:val="2"/>
        </w:numPr>
      </w:pPr>
      <w:r>
        <w:t xml:space="preserve">Policymakers wanted a </w:t>
      </w:r>
      <w:r w:rsidRPr="00360785">
        <w:rPr>
          <w:b/>
          <w:u w:val="single"/>
        </w:rPr>
        <w:t>health care tax</w:t>
      </w:r>
      <w:r>
        <w:t xml:space="preserve"> for several reasons:</w:t>
      </w:r>
    </w:p>
    <w:p w14:paraId="3451A93D" w14:textId="33752811" w:rsidR="009C1AE0" w:rsidRDefault="009C1AE0" w:rsidP="004A37C8">
      <w:pPr>
        <w:pStyle w:val="NoSpacing"/>
        <w:numPr>
          <w:ilvl w:val="2"/>
          <w:numId w:val="2"/>
        </w:numPr>
      </w:pPr>
      <w:r>
        <w:t xml:space="preserve">A more stable funding source than income taxes, which often decline at the time more people need </w:t>
      </w:r>
      <w:r w:rsidR="00174183">
        <w:t>MinnesotaCare</w:t>
      </w:r>
      <w:r>
        <w:t xml:space="preserve">   </w:t>
      </w:r>
    </w:p>
    <w:p w14:paraId="65EAC19C" w14:textId="12E32DF7" w:rsidR="004A37C8" w:rsidRDefault="009C1AE0" w:rsidP="004A37C8">
      <w:pPr>
        <w:pStyle w:val="NoSpacing"/>
        <w:numPr>
          <w:ilvl w:val="2"/>
          <w:numId w:val="2"/>
        </w:numPr>
      </w:pPr>
      <w:r>
        <w:t>Those</w:t>
      </w:r>
      <w:r w:rsidR="000F2854">
        <w:t xml:space="preserve"> paying the tax </w:t>
      </w:r>
      <w:r>
        <w:t xml:space="preserve">benefit from </w:t>
      </w:r>
      <w:r w:rsidR="000F2854">
        <w:t xml:space="preserve">the tax </w:t>
      </w:r>
      <w:r>
        <w:t xml:space="preserve">by having a source of payment for patients who would otherwise be uninsured.  </w:t>
      </w:r>
    </w:p>
    <w:p w14:paraId="7830197E" w14:textId="7BEC7F5C" w:rsidR="001A63F0" w:rsidRDefault="00174183" w:rsidP="004A37C8">
      <w:pPr>
        <w:pStyle w:val="NoSpacing"/>
        <w:numPr>
          <w:ilvl w:val="2"/>
          <w:numId w:val="2"/>
        </w:numPr>
      </w:pPr>
      <w:r>
        <w:t>T</w:t>
      </w:r>
      <w:r w:rsidR="004A37C8">
        <w:t xml:space="preserve">ax revenues increase at </w:t>
      </w:r>
      <w:r w:rsidR="001A63F0">
        <w:t>about the same rate as health care costs</w:t>
      </w:r>
      <w:r>
        <w:t xml:space="preserve">, keeping pace with </w:t>
      </w:r>
      <w:r w:rsidR="001A63F0">
        <w:t xml:space="preserve">MinnesotaCare </w:t>
      </w:r>
      <w:r>
        <w:t>program costs</w:t>
      </w:r>
    </w:p>
    <w:p w14:paraId="14123162" w14:textId="0395D456" w:rsidR="000F2854" w:rsidRDefault="004A37C8" w:rsidP="004A37C8">
      <w:pPr>
        <w:pStyle w:val="NoSpacing"/>
        <w:numPr>
          <w:ilvl w:val="1"/>
          <w:numId w:val="2"/>
        </w:numPr>
      </w:pPr>
      <w:r>
        <w:t xml:space="preserve">Policymakers chose </w:t>
      </w:r>
      <w:r w:rsidRPr="00360785">
        <w:t>two types of health care taxes:</w:t>
      </w:r>
      <w:r>
        <w:t xml:space="preserve">  </w:t>
      </w:r>
    </w:p>
    <w:p w14:paraId="7E7520F2" w14:textId="7930D078" w:rsidR="001A63F0" w:rsidRDefault="004A37C8" w:rsidP="001A63F0">
      <w:pPr>
        <w:pStyle w:val="NoSpacing"/>
        <w:numPr>
          <w:ilvl w:val="2"/>
          <w:numId w:val="2"/>
        </w:numPr>
      </w:pPr>
      <w:r w:rsidRPr="009C1AE0">
        <w:rPr>
          <w:b/>
        </w:rPr>
        <w:t>Provider tax</w:t>
      </w:r>
      <w:r>
        <w:t xml:space="preserve">.  </w:t>
      </w:r>
      <w:r w:rsidR="001A63F0">
        <w:t>A</w:t>
      </w:r>
      <w:r>
        <w:t xml:space="preserve"> provider tax was </w:t>
      </w:r>
      <w:r w:rsidR="00360785">
        <w:t xml:space="preserve">the </w:t>
      </w:r>
      <w:r>
        <w:t>broad</w:t>
      </w:r>
      <w:r w:rsidR="00174183">
        <w:t xml:space="preserve">est </w:t>
      </w:r>
      <w:r>
        <w:t xml:space="preserve">based tax </w:t>
      </w:r>
      <w:r w:rsidR="00174183">
        <w:t>that would spread the tax burden</w:t>
      </w:r>
      <w:r>
        <w:t xml:space="preserve"> </w:t>
      </w:r>
      <w:r w:rsidR="00174183">
        <w:t>across the entire health care system</w:t>
      </w:r>
      <w:r>
        <w:t xml:space="preserve">  </w:t>
      </w:r>
    </w:p>
    <w:p w14:paraId="25FF897D" w14:textId="1A99D4A7" w:rsidR="004A37C8" w:rsidRDefault="00174183" w:rsidP="001A63F0">
      <w:pPr>
        <w:pStyle w:val="NoSpacing"/>
        <w:numPr>
          <w:ilvl w:val="3"/>
          <w:numId w:val="2"/>
        </w:numPr>
      </w:pPr>
      <w:r>
        <w:t>I</w:t>
      </w:r>
      <w:r w:rsidR="001A63F0">
        <w:t>nsurance premium tax</w:t>
      </w:r>
      <w:r>
        <w:t>es are</w:t>
      </w:r>
      <w:r w:rsidR="001A63F0">
        <w:t xml:space="preserve"> not broad based because ERISA prohibit</w:t>
      </w:r>
      <w:r>
        <w:t xml:space="preserve">s state taxes on </w:t>
      </w:r>
      <w:r w:rsidR="001A63F0">
        <w:t>self-insured health plans</w:t>
      </w:r>
    </w:p>
    <w:p w14:paraId="7D8713BB" w14:textId="7590DED3" w:rsidR="001A63F0" w:rsidRDefault="00174183" w:rsidP="001A63F0">
      <w:pPr>
        <w:pStyle w:val="NoSpacing"/>
        <w:numPr>
          <w:ilvl w:val="3"/>
          <w:numId w:val="2"/>
        </w:numPr>
      </w:pPr>
      <w:r>
        <w:t>In 1992, a</w:t>
      </w:r>
      <w:r w:rsidR="001A63F0">
        <w:t>ll M</w:t>
      </w:r>
      <w:r>
        <w:t xml:space="preserve">N </w:t>
      </w:r>
      <w:r w:rsidR="001A63F0">
        <w:t xml:space="preserve">payers, including self-insured plans, agreed that the provider tax would be passed through </w:t>
      </w:r>
      <w:r>
        <w:t xml:space="preserve">to them </w:t>
      </w:r>
    </w:p>
    <w:p w14:paraId="43329861" w14:textId="07A43FCA" w:rsidR="001A63F0" w:rsidRDefault="00EE4E6B" w:rsidP="001A63F0">
      <w:pPr>
        <w:pStyle w:val="NoSpacing"/>
        <w:numPr>
          <w:ilvl w:val="4"/>
          <w:numId w:val="2"/>
        </w:numPr>
      </w:pPr>
      <w:r>
        <w:t xml:space="preserve">Note:  </w:t>
      </w:r>
      <w:r w:rsidR="001A63F0">
        <w:t xml:space="preserve">Any attempt to </w:t>
      </w:r>
      <w:r w:rsidR="001A63F0" w:rsidRPr="00174183">
        <w:rPr>
          <w:u w:val="single"/>
        </w:rPr>
        <w:t>mandate</w:t>
      </w:r>
      <w:r w:rsidR="001A63F0">
        <w:t xml:space="preserve"> </w:t>
      </w:r>
      <w:r w:rsidR="00174183">
        <w:t xml:space="preserve">self-insured </w:t>
      </w:r>
      <w:r w:rsidR="001A63F0">
        <w:t xml:space="preserve">health plans to pay the tax </w:t>
      </w:r>
      <w:r w:rsidR="00174183">
        <w:t>would violate ERISA</w:t>
      </w:r>
    </w:p>
    <w:p w14:paraId="1A17FE15" w14:textId="179B56D7" w:rsidR="00EE4E6B" w:rsidRDefault="00EE4E6B" w:rsidP="00EE4E6B">
      <w:pPr>
        <w:pStyle w:val="NoSpacing"/>
        <w:numPr>
          <w:ilvl w:val="2"/>
          <w:numId w:val="2"/>
        </w:numPr>
      </w:pPr>
      <w:r w:rsidRPr="00EE4E6B">
        <w:rPr>
          <w:b/>
        </w:rPr>
        <w:t>HMO premium tax</w:t>
      </w:r>
      <w:r>
        <w:t xml:space="preserve">.  Policymakers </w:t>
      </w:r>
      <w:r w:rsidR="00174183">
        <w:t>added a</w:t>
      </w:r>
      <w:r>
        <w:t xml:space="preserve"> tax on HMOs and </w:t>
      </w:r>
      <w:r w:rsidR="00174183">
        <w:t>Blue Cross-type plans</w:t>
      </w:r>
      <w:r>
        <w:t xml:space="preserve"> for</w:t>
      </w:r>
      <w:r w:rsidR="00174183">
        <w:t xml:space="preserve"> two main</w:t>
      </w:r>
      <w:r>
        <w:t xml:space="preserve"> reasons:</w:t>
      </w:r>
    </w:p>
    <w:p w14:paraId="459DBFA3" w14:textId="4373ECB6" w:rsidR="00EE4E6B" w:rsidRDefault="00174183" w:rsidP="00EE4E6B">
      <w:pPr>
        <w:pStyle w:val="NoSpacing"/>
        <w:numPr>
          <w:ilvl w:val="3"/>
          <w:numId w:val="2"/>
        </w:numPr>
      </w:pPr>
      <w:r>
        <w:t xml:space="preserve">These plans would benefit from </w:t>
      </w:r>
      <w:r w:rsidR="00360785">
        <w:t xml:space="preserve">receiving state </w:t>
      </w:r>
      <w:r>
        <w:t xml:space="preserve">contracts to cover the newly insured </w:t>
      </w:r>
      <w:r w:rsidR="00360785">
        <w:t>MinnesotaCare recipients</w:t>
      </w:r>
    </w:p>
    <w:p w14:paraId="1E026BA4" w14:textId="641FD218" w:rsidR="00EE4E6B" w:rsidRDefault="00EE4E6B" w:rsidP="00EE4E6B">
      <w:pPr>
        <w:pStyle w:val="NoSpacing"/>
        <w:numPr>
          <w:ilvl w:val="3"/>
          <w:numId w:val="2"/>
        </w:numPr>
      </w:pPr>
      <w:r>
        <w:t xml:space="preserve">These </w:t>
      </w:r>
      <w:r w:rsidR="00174183">
        <w:t xml:space="preserve">types of </w:t>
      </w:r>
      <w:r>
        <w:t>plans did not pay a</w:t>
      </w:r>
      <w:r w:rsidR="00174183">
        <w:t>n existing</w:t>
      </w:r>
      <w:r>
        <w:t xml:space="preserve"> insurance premium tax</w:t>
      </w:r>
      <w:r w:rsidR="00174183">
        <w:t xml:space="preserve"> paid by other types of health insurers</w:t>
      </w:r>
    </w:p>
    <w:p w14:paraId="5F5F09E8" w14:textId="77777777" w:rsidR="00EE4E6B" w:rsidRDefault="00EE4E6B" w:rsidP="00EE4E6B">
      <w:pPr>
        <w:pStyle w:val="NoSpacing"/>
        <w:ind w:left="2880"/>
      </w:pPr>
    </w:p>
    <w:p w14:paraId="38A25B5A" w14:textId="3E5F4F18" w:rsidR="006E6A93" w:rsidRPr="006E6A93" w:rsidRDefault="006E6A93" w:rsidP="006E6A93">
      <w:pPr>
        <w:pStyle w:val="NoSpacing"/>
        <w:numPr>
          <w:ilvl w:val="0"/>
          <w:numId w:val="2"/>
        </w:numPr>
      </w:pPr>
      <w:r w:rsidRPr="006E6A93">
        <w:rPr>
          <w:b/>
          <w:sz w:val="24"/>
          <w:szCs w:val="24"/>
        </w:rPr>
        <w:t xml:space="preserve">Uses of MinnesotaCare Tax Revenues:   </w:t>
      </w:r>
      <w:r w:rsidRPr="006E6A93">
        <w:t xml:space="preserve">Over time, the Minnesota Legislature has </w:t>
      </w:r>
      <w:r>
        <w:t xml:space="preserve">greatly </w:t>
      </w:r>
      <w:r w:rsidRPr="006E6A93">
        <w:t xml:space="preserve">expanded </w:t>
      </w:r>
      <w:r>
        <w:t xml:space="preserve">the </w:t>
      </w:r>
      <w:r w:rsidRPr="006E6A93">
        <w:t>uses of MinnesotaCare tax</w:t>
      </w:r>
      <w:r>
        <w:t xml:space="preserve"> revenues by appropriating HCAF money for other state purposes and transferring money from the HCAF to the state general fund.</w:t>
      </w:r>
      <w:r w:rsidRPr="006E6A93">
        <w:t xml:space="preserve"> </w:t>
      </w:r>
      <w:r>
        <w:t xml:space="preserve"> Among other</w:t>
      </w:r>
      <w:r w:rsidR="00520B59">
        <w:t xml:space="preserve"> new use</w:t>
      </w:r>
      <w:r>
        <w:t xml:space="preserve">s, money was transferred to the general fund to pay for </w:t>
      </w:r>
      <w:r w:rsidR="00520B59">
        <w:t xml:space="preserve">ACA </w:t>
      </w:r>
      <w:r>
        <w:t>Medicaid expansion</w:t>
      </w:r>
      <w:r w:rsidR="00520B59">
        <w:t xml:space="preserve"> when some </w:t>
      </w:r>
      <w:proofErr w:type="spellStart"/>
      <w:r w:rsidR="00520B59">
        <w:t>MNCare</w:t>
      </w:r>
      <w:proofErr w:type="spellEnd"/>
      <w:r w:rsidR="00520B59">
        <w:t xml:space="preserve"> enrollees became eligible for MA.</w:t>
      </w:r>
    </w:p>
    <w:p w14:paraId="61A760DD" w14:textId="77777777" w:rsidR="006E6A93" w:rsidRDefault="006E6A93" w:rsidP="006E6A93">
      <w:pPr>
        <w:pStyle w:val="NoSpacing"/>
        <w:ind w:left="1440"/>
        <w:rPr>
          <w:b/>
          <w:sz w:val="24"/>
          <w:szCs w:val="24"/>
        </w:rPr>
      </w:pPr>
    </w:p>
    <w:p w14:paraId="23F28C72" w14:textId="4AC6AFA8" w:rsidR="00132CBB" w:rsidRDefault="00132CBB" w:rsidP="00EE4E6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MinnesotaCare Tax Sunset:  </w:t>
      </w:r>
      <w:r w:rsidRPr="00360785">
        <w:t xml:space="preserve">In 2011, Governor Dayton and the Republican Legislature </w:t>
      </w:r>
      <w:r w:rsidR="00CE6188" w:rsidRPr="00360785">
        <w:t xml:space="preserve">reached agreement to repeal the provider tax effective January 1, 2020, as part of their negotiated budget agreement that ended the </w:t>
      </w:r>
      <w:r w:rsidR="00360785">
        <w:t xml:space="preserve">19-day </w:t>
      </w:r>
      <w:r w:rsidR="00CE6188" w:rsidRPr="00360785">
        <w:t>state government shutdown</w:t>
      </w:r>
      <w:r w:rsidR="00360785" w:rsidRPr="00360785">
        <w:t>.</w:t>
      </w:r>
      <w:r w:rsidR="00CE6188">
        <w:rPr>
          <w:sz w:val="24"/>
          <w:szCs w:val="24"/>
        </w:rPr>
        <w:t xml:space="preserve"> </w:t>
      </w:r>
    </w:p>
    <w:p w14:paraId="7A4CCD5B" w14:textId="77777777" w:rsidR="00132CBB" w:rsidRDefault="00132CBB" w:rsidP="00132CBB">
      <w:pPr>
        <w:pStyle w:val="NoSpacing"/>
        <w:ind w:left="720"/>
        <w:rPr>
          <w:b/>
          <w:sz w:val="24"/>
          <w:szCs w:val="24"/>
        </w:rPr>
      </w:pPr>
    </w:p>
    <w:p w14:paraId="1AF6BD2E" w14:textId="3DE4EE3B" w:rsidR="00EE4E6B" w:rsidRPr="00EE4E6B" w:rsidRDefault="00EE4E6B" w:rsidP="00EE4E6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EE4E6B">
        <w:rPr>
          <w:b/>
          <w:sz w:val="24"/>
          <w:szCs w:val="24"/>
        </w:rPr>
        <w:t>Consequences of Repeal of the MinnesotaCare Taxes</w:t>
      </w:r>
      <w:r w:rsidR="0062552B">
        <w:rPr>
          <w:b/>
          <w:sz w:val="24"/>
          <w:szCs w:val="24"/>
        </w:rPr>
        <w:t xml:space="preserve"> </w:t>
      </w:r>
    </w:p>
    <w:p w14:paraId="647F281F" w14:textId="12942554" w:rsidR="00EE4E6B" w:rsidRPr="002E48BA" w:rsidRDefault="00EE4E6B" w:rsidP="00EE4E6B">
      <w:pPr>
        <w:pStyle w:val="NoSpacing"/>
        <w:numPr>
          <w:ilvl w:val="1"/>
          <w:numId w:val="2"/>
        </w:numPr>
      </w:pPr>
      <w:r w:rsidRPr="002E48BA">
        <w:rPr>
          <w:u w:val="single"/>
        </w:rPr>
        <w:t>Loss of funding</w:t>
      </w:r>
      <w:r w:rsidR="00132CBB" w:rsidRPr="002E48BA">
        <w:t xml:space="preserve">. </w:t>
      </w:r>
      <w:proofErr w:type="spellStart"/>
      <w:r w:rsidRPr="002E48BA">
        <w:t>M</w:t>
      </w:r>
      <w:r w:rsidR="00132CBB" w:rsidRPr="002E48BA">
        <w:t>N</w:t>
      </w:r>
      <w:r w:rsidRPr="002E48BA">
        <w:t>Care</w:t>
      </w:r>
      <w:proofErr w:type="spellEnd"/>
      <w:r w:rsidRPr="002E48BA">
        <w:t xml:space="preserve">, </w:t>
      </w:r>
      <w:r w:rsidR="00132CBB" w:rsidRPr="002E48BA">
        <w:t>MA</w:t>
      </w:r>
      <w:r w:rsidR="00360785" w:rsidRPr="002E48BA">
        <w:t>,</w:t>
      </w:r>
      <w:r w:rsidRPr="002E48BA">
        <w:t xml:space="preserve"> SHIP, and other</w:t>
      </w:r>
      <w:r w:rsidR="00132CBB" w:rsidRPr="002E48BA">
        <w:t xml:space="preserve"> HCAF programs</w:t>
      </w:r>
      <w:r w:rsidRPr="002E48BA">
        <w:t xml:space="preserve"> are unlikely to be funded at the same level from the general fund</w:t>
      </w:r>
    </w:p>
    <w:p w14:paraId="34D20A51" w14:textId="36040646" w:rsidR="00360785" w:rsidRPr="002E48BA" w:rsidRDefault="002E48BA" w:rsidP="00EE4E6B">
      <w:pPr>
        <w:pStyle w:val="NoSpacing"/>
        <w:numPr>
          <w:ilvl w:val="1"/>
          <w:numId w:val="2"/>
        </w:numPr>
      </w:pPr>
      <w:r>
        <w:rPr>
          <w:u w:val="single"/>
        </w:rPr>
        <w:t>Harm to consumers</w:t>
      </w:r>
      <w:r w:rsidR="00360785" w:rsidRPr="002E48BA">
        <w:t>.  More people are likely to be uninsured, have fewer insurance benefits and pay higher premiums and copays</w:t>
      </w:r>
    </w:p>
    <w:p w14:paraId="047F2B73" w14:textId="474ED311" w:rsidR="00360785" w:rsidRPr="002E48BA" w:rsidRDefault="002E48BA" w:rsidP="00EE4E6B">
      <w:pPr>
        <w:pStyle w:val="NoSpacing"/>
        <w:numPr>
          <w:ilvl w:val="1"/>
          <w:numId w:val="2"/>
        </w:numPr>
        <w:rPr>
          <w:u w:val="single"/>
        </w:rPr>
      </w:pPr>
      <w:r>
        <w:rPr>
          <w:u w:val="single"/>
        </w:rPr>
        <w:t>P</w:t>
      </w:r>
      <w:r w:rsidR="00360785" w:rsidRPr="002E48BA">
        <w:rPr>
          <w:u w:val="single"/>
        </w:rPr>
        <w:t>ublic health</w:t>
      </w:r>
      <w:r>
        <w:rPr>
          <w:u w:val="single"/>
        </w:rPr>
        <w:t xml:space="preserve"> cuts</w:t>
      </w:r>
      <w:r w:rsidR="00360785" w:rsidRPr="002E48BA">
        <w:rPr>
          <w:u w:val="single"/>
        </w:rPr>
        <w:t>.</w:t>
      </w:r>
      <w:r w:rsidR="00360785" w:rsidRPr="002E48BA">
        <w:t xml:space="preserve">  SHIP </w:t>
      </w:r>
      <w:r w:rsidRPr="002E48BA">
        <w:t>programs that improve the health of Minnesotans are</w:t>
      </w:r>
      <w:r w:rsidR="00360785" w:rsidRPr="002E48BA">
        <w:t xml:space="preserve"> likely to be reduced or eliminate</w:t>
      </w:r>
      <w:r w:rsidRPr="002E48BA">
        <w:t>d</w:t>
      </w:r>
    </w:p>
    <w:p w14:paraId="31904A06" w14:textId="669F3347" w:rsidR="00EE4E6B" w:rsidRPr="002E48BA" w:rsidRDefault="00EE4E6B" w:rsidP="00EE4E6B">
      <w:pPr>
        <w:pStyle w:val="NoSpacing"/>
        <w:numPr>
          <w:ilvl w:val="1"/>
          <w:numId w:val="2"/>
        </w:numPr>
      </w:pPr>
      <w:r w:rsidRPr="002E48BA">
        <w:rPr>
          <w:u w:val="single"/>
        </w:rPr>
        <w:t>Cuts in provider payments</w:t>
      </w:r>
      <w:r w:rsidR="00132CBB" w:rsidRPr="002E48BA">
        <w:t>.</w:t>
      </w:r>
      <w:r w:rsidRPr="002E48BA">
        <w:t xml:space="preserve">  </w:t>
      </w:r>
      <w:r w:rsidR="00132CBB" w:rsidRPr="002E48BA">
        <w:t>H</w:t>
      </w:r>
      <w:r w:rsidRPr="002E48BA">
        <w:t xml:space="preserve">ealth plans </w:t>
      </w:r>
      <w:r w:rsidR="00132CBB" w:rsidRPr="002E48BA">
        <w:t>will reduce provider payment rates by the amount of the “savings” realized by providers</w:t>
      </w:r>
    </w:p>
    <w:p w14:paraId="04E9C283" w14:textId="4561783F" w:rsidR="00132CBB" w:rsidRPr="002E48BA" w:rsidRDefault="00174183" w:rsidP="00360785">
      <w:pPr>
        <w:pStyle w:val="NoSpacing"/>
        <w:numPr>
          <w:ilvl w:val="1"/>
          <w:numId w:val="2"/>
        </w:numPr>
      </w:pPr>
      <w:r w:rsidRPr="002E48BA">
        <w:rPr>
          <w:u w:val="single"/>
        </w:rPr>
        <w:t>Provider uncompensated care</w:t>
      </w:r>
      <w:r w:rsidR="002E48BA">
        <w:rPr>
          <w:u w:val="single"/>
        </w:rPr>
        <w:t>.</w:t>
      </w:r>
      <w:r w:rsidR="00132CBB" w:rsidRPr="002E48BA">
        <w:t xml:space="preserve"> </w:t>
      </w:r>
      <w:r w:rsidR="002E48BA">
        <w:t>C</w:t>
      </w:r>
      <w:r w:rsidRPr="002E48BA">
        <w:t xml:space="preserve">utbacks in </w:t>
      </w:r>
      <w:r w:rsidR="00132CBB" w:rsidRPr="002E48BA">
        <w:t xml:space="preserve">state program </w:t>
      </w:r>
      <w:r w:rsidRPr="002E48BA">
        <w:t xml:space="preserve">eligibility, benefits </w:t>
      </w:r>
      <w:r w:rsidR="00132CBB" w:rsidRPr="002E48BA">
        <w:t>and</w:t>
      </w:r>
      <w:r w:rsidRPr="002E48BA">
        <w:t xml:space="preserve"> payment rates</w:t>
      </w:r>
      <w:r w:rsidR="002E48BA">
        <w:t xml:space="preserve"> will increase uncompensated care losses</w:t>
      </w:r>
    </w:p>
    <w:p w14:paraId="1EBE1A64" w14:textId="77777777" w:rsidR="000F2854" w:rsidRDefault="000F2854" w:rsidP="000F2854">
      <w:pPr>
        <w:jc w:val="center"/>
      </w:pPr>
    </w:p>
    <w:p w14:paraId="577F18C0" w14:textId="68B57AE4" w:rsidR="00A2051F" w:rsidRDefault="00C066F5" w:rsidP="0036078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6BF22" wp14:editId="62802E1A">
                <wp:simplePos x="0" y="0"/>
                <wp:positionH relativeFrom="margin">
                  <wp:posOffset>7155180</wp:posOffset>
                </wp:positionH>
                <wp:positionV relativeFrom="paragraph">
                  <wp:posOffset>3947160</wp:posOffset>
                </wp:positionV>
                <wp:extent cx="792480" cy="102108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1021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8BBB8F" w14:textId="02283145" w:rsidR="004D546A" w:rsidRPr="00360785" w:rsidRDefault="004D546A" w:rsidP="004D546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078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Small Employer and Individual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6BF22" id="Rectangle 3" o:spid="_x0000_s1026" style="position:absolute;left:0;text-align:left;margin-left:563.4pt;margin-top:310.8pt;width:62.4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" filled="f" stroked="f" strokeweight="1pt">
                <v:textbox>
                  <w:txbxContent>
                    <w:p w14:paraId="4E8BBB8F" w14:textId="02283145" w:rsidR="004D546A" w:rsidRPr="00360785" w:rsidRDefault="004D546A" w:rsidP="004D546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6078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Small Employer and Individual Policies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17A40" wp14:editId="6C61929B">
                <wp:simplePos x="0" y="0"/>
                <wp:positionH relativeFrom="column">
                  <wp:posOffset>4716780</wp:posOffset>
                </wp:positionH>
                <wp:positionV relativeFrom="paragraph">
                  <wp:posOffset>2415540</wp:posOffset>
                </wp:positionV>
                <wp:extent cx="754380" cy="10210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9A06C" w14:textId="64D549D2" w:rsidR="004D546A" w:rsidRPr="00360785" w:rsidRDefault="004D546A" w:rsidP="004D546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078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 w:rsidRPr="0036078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arge Employer and Union </w:t>
                            </w:r>
                            <w:r w:rsidR="0036078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Health </w:t>
                            </w:r>
                            <w:r w:rsidRPr="0036078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17A40" id="Rectangle 2" o:spid="_x0000_s1027" style="position:absolute;left:0;text-align:left;margin-left:371.4pt;margin-top:190.2pt;width:59.4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" filled="f" stroked="f" strokeweight="1pt">
                <v:textbox>
                  <w:txbxContent>
                    <w:p w14:paraId="3DC9A06C" w14:textId="64D549D2" w:rsidR="004D546A" w:rsidRPr="00360785" w:rsidRDefault="004D546A" w:rsidP="004D546A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6078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r w:rsidRPr="0036078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arge Employer and Union </w:t>
                      </w:r>
                      <w:r w:rsidR="0036078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Health </w:t>
                      </w:r>
                      <w:r w:rsidRPr="0036078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Plans</w:t>
                      </w:r>
                    </w:p>
                  </w:txbxContent>
                </v:textbox>
              </v:rect>
            </w:pict>
          </mc:Fallback>
        </mc:AlternateContent>
      </w:r>
      <w:r w:rsidR="003607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8D9ED" wp14:editId="77FE7E5E">
                <wp:simplePos x="0" y="0"/>
                <wp:positionH relativeFrom="column">
                  <wp:posOffset>5455920</wp:posOffset>
                </wp:positionH>
                <wp:positionV relativeFrom="paragraph">
                  <wp:posOffset>3162300</wp:posOffset>
                </wp:positionV>
                <wp:extent cx="876300" cy="102108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FC9BE" w14:textId="5D95B4AB" w:rsidR="004D546A" w:rsidRPr="00360785" w:rsidRDefault="004D546A" w:rsidP="004D546A">
                            <w:pPr>
                              <w:jc w:val="center"/>
                              <w:rPr>
                                <w:i/>
                                <w:color w:val="A8D08D" w:themeColor="accent6" w:themeTint="99"/>
                                <w:sz w:val="20"/>
                                <w:szCs w:val="20"/>
                              </w:rPr>
                            </w:pPr>
                            <w:r w:rsidRPr="00360785">
                              <w:rPr>
                                <w:i/>
                                <w:color w:val="A8D08D" w:themeColor="accent6" w:themeTint="99"/>
                                <w:sz w:val="20"/>
                                <w:szCs w:val="20"/>
                              </w:rPr>
                              <w:t>States not allowed to tax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8D9ED" id="Rectangle 4" o:spid="_x0000_s1028" style="position:absolute;left:0;text-align:left;margin-left:429.6pt;margin-top:249pt;width:69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" filled="f" stroked="f" strokeweight="1pt">
                <v:textbox>
                  <w:txbxContent>
                    <w:p w14:paraId="66FFC9BE" w14:textId="5D95B4AB" w:rsidR="004D546A" w:rsidRPr="00360785" w:rsidRDefault="004D546A" w:rsidP="004D546A">
                      <w:pPr>
                        <w:jc w:val="center"/>
                        <w:rPr>
                          <w:i/>
                          <w:color w:val="A8D08D" w:themeColor="accent6" w:themeTint="99"/>
                          <w:sz w:val="20"/>
                          <w:szCs w:val="20"/>
                        </w:rPr>
                      </w:pPr>
                      <w:r w:rsidRPr="00360785">
                        <w:rPr>
                          <w:i/>
                          <w:color w:val="A8D08D" w:themeColor="accent6" w:themeTint="99"/>
                          <w:sz w:val="20"/>
                          <w:szCs w:val="20"/>
                        </w:rPr>
                        <w:t>States not allowed to tax</w:t>
                      </w:r>
                    </w:p>
                  </w:txbxContent>
                </v:textbox>
              </v:rect>
            </w:pict>
          </mc:Fallback>
        </mc:AlternateContent>
      </w:r>
      <w:r w:rsidR="003607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DE45A" wp14:editId="46CC2694">
                <wp:simplePos x="0" y="0"/>
                <wp:positionH relativeFrom="column">
                  <wp:posOffset>6179820</wp:posOffset>
                </wp:positionH>
                <wp:positionV relativeFrom="paragraph">
                  <wp:posOffset>3710940</wp:posOffset>
                </wp:positionV>
                <wp:extent cx="876300" cy="102108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E6D16" w14:textId="2F3A5E1D" w:rsidR="004D546A" w:rsidRPr="00360785" w:rsidRDefault="004D546A" w:rsidP="004D546A">
                            <w:pPr>
                              <w:jc w:val="center"/>
                              <w:rPr>
                                <w:i/>
                                <w:color w:val="A8D08D" w:themeColor="accent6" w:themeTint="99"/>
                                <w:sz w:val="20"/>
                                <w:szCs w:val="20"/>
                              </w:rPr>
                            </w:pPr>
                            <w:r w:rsidRPr="00360785">
                              <w:rPr>
                                <w:i/>
                                <w:color w:val="A8D08D" w:themeColor="accent6" w:themeTint="99"/>
                                <w:sz w:val="20"/>
                                <w:szCs w:val="20"/>
                              </w:rPr>
                              <w:t>States allowed to tax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DE45A" id="Rectangle 5" o:spid="_x0000_s1029" style="position:absolute;left:0;text-align:left;margin-left:486.6pt;margin-top:292.2pt;width:69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" filled="f" stroked="f" strokeweight="1pt">
                <v:textbox>
                  <w:txbxContent>
                    <w:p w14:paraId="045E6D16" w14:textId="2F3A5E1D" w:rsidR="004D546A" w:rsidRPr="00360785" w:rsidRDefault="004D546A" w:rsidP="004D546A">
                      <w:pPr>
                        <w:jc w:val="center"/>
                        <w:rPr>
                          <w:i/>
                          <w:color w:val="A8D08D" w:themeColor="accent6" w:themeTint="99"/>
                          <w:sz w:val="20"/>
                          <w:szCs w:val="20"/>
                        </w:rPr>
                      </w:pPr>
                      <w:r w:rsidRPr="00360785">
                        <w:rPr>
                          <w:i/>
                          <w:color w:val="A8D08D" w:themeColor="accent6" w:themeTint="99"/>
                          <w:sz w:val="20"/>
                          <w:szCs w:val="20"/>
                        </w:rPr>
                        <w:t>States allowed to tax</w:t>
                      </w:r>
                    </w:p>
                  </w:txbxContent>
                </v:textbox>
              </v:rect>
            </w:pict>
          </mc:Fallback>
        </mc:AlternateContent>
      </w:r>
      <w:r w:rsidR="004D546A" w:rsidRPr="004D546A">
        <w:rPr>
          <w:noProof/>
        </w:rPr>
        <w:drawing>
          <wp:inline distT="0" distB="0" distL="0" distR="0" wp14:anchorId="1D9C1F2B" wp14:editId="0964786F">
            <wp:extent cx="8229600" cy="6172200"/>
            <wp:effectExtent l="0" t="0" r="0" b="0"/>
            <wp:docPr id="1" name="Picture 1" descr="C:\Users\Michael\Documents\Safety Net Coalition\Provider Tax and HCAF\MDH - Percent Self-insured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ocuments\Safety Net Coalition\Provider Tax and HCAF\MDH - Percent Self-insured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C8D">
        <w:br w:type="page"/>
      </w:r>
      <w:r w:rsidR="000F2854" w:rsidRPr="000F2854">
        <w:rPr>
          <w:noProof/>
        </w:rPr>
        <w:lastRenderedPageBreak/>
        <w:drawing>
          <wp:inline distT="0" distB="0" distL="0" distR="0" wp14:anchorId="33A14C33" wp14:editId="29F8F54F">
            <wp:extent cx="8229600" cy="6359236"/>
            <wp:effectExtent l="0" t="0" r="0" b="3810"/>
            <wp:docPr id="6" name="Picture 6" descr="C:\Users\Michael\Documents\Safety Net Coalition\Provider Tax and HCAF\Chart - Growth in HC Spending and Income T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\Documents\Safety Net Coalition\Provider Tax and HCAF\Chart - Growth in HC Spending and Income Tax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5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51F" w:rsidSect="007E7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08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25635" w14:textId="77777777" w:rsidR="00142B17" w:rsidRDefault="00142B17" w:rsidP="007E7A8B">
      <w:pPr>
        <w:spacing w:after="0" w:line="240" w:lineRule="auto"/>
      </w:pPr>
      <w:r>
        <w:separator/>
      </w:r>
    </w:p>
  </w:endnote>
  <w:endnote w:type="continuationSeparator" w:id="0">
    <w:p w14:paraId="64D9F1A9" w14:textId="77777777" w:rsidR="00142B17" w:rsidRDefault="00142B17" w:rsidP="007E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B93D" w14:textId="77777777" w:rsidR="00BB1EEB" w:rsidRDefault="00BB1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164A" w14:textId="77777777" w:rsidR="00BB1EEB" w:rsidRDefault="00BB1E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B84E1" w14:textId="3759F54E" w:rsidR="007E7A8B" w:rsidRDefault="007E7A8B" w:rsidP="007E7A8B">
    <w:pPr>
      <w:pStyle w:val="Footer"/>
      <w:jc w:val="center"/>
    </w:pPr>
    <w:r w:rsidRPr="007E7A8B">
      <w:rPr>
        <w:noProof/>
      </w:rPr>
      <w:drawing>
        <wp:inline distT="0" distB="0" distL="0" distR="0" wp14:anchorId="11247466" wp14:editId="0A4400D9">
          <wp:extent cx="883319" cy="635991"/>
          <wp:effectExtent l="0" t="0" r="0" b="0"/>
          <wp:docPr id="8" name="Picture 8" descr="C:\Users\Michael\Pictures\SN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chael\Pictures\SN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729" cy="643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D0D32" w14:textId="77777777" w:rsidR="00142B17" w:rsidRDefault="00142B17" w:rsidP="007E7A8B">
      <w:pPr>
        <w:spacing w:after="0" w:line="240" w:lineRule="auto"/>
      </w:pPr>
      <w:r>
        <w:separator/>
      </w:r>
    </w:p>
  </w:footnote>
  <w:footnote w:type="continuationSeparator" w:id="0">
    <w:p w14:paraId="6ED9BC5E" w14:textId="77777777" w:rsidR="00142B17" w:rsidRDefault="00142B17" w:rsidP="007E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DED8" w14:textId="77777777" w:rsidR="00BB1EEB" w:rsidRDefault="00BB1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C555" w14:textId="5512A48D" w:rsidR="007E7A8B" w:rsidRDefault="007E7A8B">
    <w:pPr>
      <w:pStyle w:val="Header"/>
    </w:pPr>
  </w:p>
  <w:p w14:paraId="498DCB5A" w14:textId="77777777" w:rsidR="007E7A8B" w:rsidRDefault="007E7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1E2A" w14:textId="77777777" w:rsidR="007E7A8B" w:rsidRDefault="007E7A8B" w:rsidP="007E7A8B">
    <w:pPr>
      <w:pStyle w:val="Header"/>
      <w:rPr>
        <w:b/>
        <w:sz w:val="28"/>
        <w:szCs w:val="28"/>
      </w:rPr>
    </w:pPr>
    <w:r>
      <w:ptab w:relativeTo="margin" w:alignment="center" w:leader="none"/>
    </w:r>
    <w:r w:rsidRPr="00360785">
      <w:rPr>
        <w:b/>
        <w:sz w:val="28"/>
        <w:szCs w:val="28"/>
      </w:rPr>
      <w:t>History and Rationale for the MinnesotaCare Taxes</w:t>
    </w:r>
    <w:r>
      <w:rPr>
        <w:b/>
        <w:sz w:val="28"/>
        <w:szCs w:val="28"/>
      </w:rPr>
      <w:t xml:space="preserve"> </w:t>
    </w:r>
  </w:p>
  <w:p w14:paraId="10B7D4FC" w14:textId="41DBEE14" w:rsidR="007E7A8B" w:rsidRDefault="007E7A8B" w:rsidP="007E7A8B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15E"/>
    <w:multiLevelType w:val="hybridMultilevel"/>
    <w:tmpl w:val="0EBC8C54"/>
    <w:lvl w:ilvl="0" w:tplc="2BFCE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092E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4ACE0C8B"/>
    <w:multiLevelType w:val="hybridMultilevel"/>
    <w:tmpl w:val="D96A6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6A"/>
    <w:rsid w:val="000F2854"/>
    <w:rsid w:val="00132CBB"/>
    <w:rsid w:val="00142B17"/>
    <w:rsid w:val="00174183"/>
    <w:rsid w:val="001A63F0"/>
    <w:rsid w:val="002E48BA"/>
    <w:rsid w:val="00360785"/>
    <w:rsid w:val="004A37C8"/>
    <w:rsid w:val="004D483C"/>
    <w:rsid w:val="004D546A"/>
    <w:rsid w:val="00520B59"/>
    <w:rsid w:val="005E3B94"/>
    <w:rsid w:val="0062552B"/>
    <w:rsid w:val="006E6A93"/>
    <w:rsid w:val="007541FD"/>
    <w:rsid w:val="007E7A8B"/>
    <w:rsid w:val="009C1AE0"/>
    <w:rsid w:val="00A03FAE"/>
    <w:rsid w:val="00A2051F"/>
    <w:rsid w:val="00AD0515"/>
    <w:rsid w:val="00BB1EEB"/>
    <w:rsid w:val="00C066F5"/>
    <w:rsid w:val="00CE6188"/>
    <w:rsid w:val="00D97C8D"/>
    <w:rsid w:val="00EE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38470E"/>
  <w15:chartTrackingRefBased/>
  <w15:docId w15:val="{0652751B-0E79-4246-A744-3CC56954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4D546A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FAE"/>
    <w:pPr>
      <w:spacing w:after="0" w:line="240" w:lineRule="auto"/>
      <w:ind w:left="0"/>
    </w:pPr>
  </w:style>
  <w:style w:type="numbering" w:customStyle="1" w:styleId="Style1">
    <w:name w:val="Style1"/>
    <w:uiPriority w:val="99"/>
    <w:rsid w:val="004D483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A37C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7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8B"/>
  </w:style>
  <w:style w:type="paragraph" w:styleId="Footer">
    <w:name w:val="footer"/>
    <w:basedOn w:val="Normal"/>
    <w:link w:val="FooterChar"/>
    <w:uiPriority w:val="99"/>
    <w:unhideWhenUsed/>
    <w:rsid w:val="007E7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8B"/>
  </w:style>
  <w:style w:type="paragraph" w:styleId="BalloonText">
    <w:name w:val="Balloon Text"/>
    <w:basedOn w:val="Normal"/>
    <w:link w:val="BalloonTextChar"/>
    <w:uiPriority w:val="99"/>
    <w:semiHidden/>
    <w:unhideWhenUsed/>
    <w:rsid w:val="00BB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Ellie Beaver</cp:lastModifiedBy>
  <cp:revision>2</cp:revision>
  <cp:lastPrinted>2018-08-09T17:54:00Z</cp:lastPrinted>
  <dcterms:created xsi:type="dcterms:W3CDTF">2018-08-09T18:00:00Z</dcterms:created>
  <dcterms:modified xsi:type="dcterms:W3CDTF">2018-08-09T18:00:00Z</dcterms:modified>
</cp:coreProperties>
</file>